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B3" w:rsidRDefault="006D0484" w:rsidP="00035A6E">
      <w:pPr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noProof/>
          <w:color w:val="222222"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-123825</wp:posOffset>
            </wp:positionV>
            <wp:extent cx="4343400" cy="2838450"/>
            <wp:effectExtent l="19050" t="0" r="0" b="0"/>
            <wp:wrapTight wrapText="bothSides">
              <wp:wrapPolygon edited="0">
                <wp:start x="853" y="0"/>
                <wp:lineTo x="568" y="2319"/>
                <wp:lineTo x="-95" y="3334"/>
                <wp:lineTo x="-95" y="18991"/>
                <wp:lineTo x="1137" y="20875"/>
                <wp:lineTo x="1421" y="21020"/>
                <wp:lineTo x="2274" y="21165"/>
                <wp:lineTo x="2653" y="21165"/>
                <wp:lineTo x="16011" y="21165"/>
                <wp:lineTo x="19042" y="20875"/>
                <wp:lineTo x="21600" y="19860"/>
                <wp:lineTo x="21600" y="3624"/>
                <wp:lineTo x="21411" y="2899"/>
                <wp:lineTo x="19800" y="0"/>
                <wp:lineTo x="853" y="0"/>
              </wp:wrapPolygon>
            </wp:wrapTight>
            <wp:docPr id="4" name="Picture 4" descr="Table 7. Examples of individual immunophenotype features with reported prognostic significance in DLB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 7. Examples of individual immunophenotype features with reported prognostic significance in DLBC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CB3">
        <w:rPr>
          <w:rFonts w:ascii="Arial" w:hAnsi="Arial" w:cs="Arial"/>
          <w:b/>
          <w:bCs/>
          <w:color w:val="222222"/>
          <w:sz w:val="21"/>
          <w:szCs w:val="21"/>
        </w:rPr>
        <w:t>DLBCL Panel</w:t>
      </w:r>
      <w:r w:rsidR="00825918">
        <w:rPr>
          <w:rFonts w:ascii="Arial" w:hAnsi="Arial" w:cs="Arial"/>
          <w:b/>
          <w:bCs/>
          <w:color w:val="222222"/>
          <w:sz w:val="21"/>
          <w:szCs w:val="21"/>
        </w:rPr>
        <w:t>s</w:t>
      </w:r>
      <w:r w:rsidR="00BA5CB3">
        <w:rPr>
          <w:rFonts w:ascii="Arial" w:hAnsi="Arial" w:cs="Arial"/>
          <w:b/>
          <w:bCs/>
          <w:color w:val="222222"/>
          <w:sz w:val="21"/>
          <w:szCs w:val="21"/>
        </w:rPr>
        <w:t>:</w:t>
      </w:r>
      <w:r w:rsidRPr="006D0484">
        <w:t xml:space="preserve"> </w:t>
      </w:r>
    </w:p>
    <w:p w:rsidR="00BA5CB3" w:rsidRDefault="00BA5CB3" w:rsidP="00035A6E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825918" w:rsidRDefault="00825918" w:rsidP="00825918">
      <w:pPr>
        <w:ind w:left="360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Diagnostic:</w:t>
      </w:r>
    </w:p>
    <w:p w:rsidR="00825918" w:rsidRPr="00825918" w:rsidRDefault="00825918" w:rsidP="00825918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BCL-1</w:t>
      </w:r>
    </w:p>
    <w:p w:rsidR="00825918" w:rsidRDefault="00825918" w:rsidP="00825918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CD3</w:t>
      </w:r>
    </w:p>
    <w:p w:rsidR="00825918" w:rsidRDefault="00825918" w:rsidP="00825918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CD5</w:t>
      </w:r>
    </w:p>
    <w:p w:rsidR="00825918" w:rsidRDefault="00825918" w:rsidP="00825918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CD20 or PAX-5</w:t>
      </w:r>
    </w:p>
    <w:p w:rsidR="00825918" w:rsidRDefault="00825918" w:rsidP="00825918">
      <w:pPr>
        <w:rPr>
          <w:rFonts w:ascii="Arial" w:hAnsi="Arial" w:cs="Arial"/>
          <w:bCs/>
          <w:color w:val="222222"/>
          <w:sz w:val="21"/>
          <w:szCs w:val="21"/>
        </w:rPr>
      </w:pPr>
    </w:p>
    <w:p w:rsidR="00825918" w:rsidRPr="00825918" w:rsidRDefault="00825918" w:rsidP="00825918">
      <w:pPr>
        <w:ind w:left="360"/>
        <w:rPr>
          <w:rFonts w:ascii="Arial" w:hAnsi="Arial" w:cs="Arial"/>
          <w:b/>
          <w:bCs/>
          <w:color w:val="222222"/>
          <w:sz w:val="21"/>
          <w:szCs w:val="21"/>
        </w:rPr>
      </w:pPr>
      <w:r w:rsidRPr="00825918">
        <w:rPr>
          <w:rFonts w:ascii="Arial" w:hAnsi="Arial" w:cs="Arial"/>
          <w:b/>
          <w:bCs/>
          <w:color w:val="222222"/>
          <w:sz w:val="21"/>
          <w:szCs w:val="21"/>
        </w:rPr>
        <w:t>Prognostic:</w:t>
      </w:r>
    </w:p>
    <w:p w:rsidR="00BA5CB3" w:rsidRDefault="00BA5CB3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BCL-2</w:t>
      </w:r>
    </w:p>
    <w:p w:rsidR="00BA5CB3" w:rsidRDefault="00BA5CB3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BCL-6</w:t>
      </w:r>
    </w:p>
    <w:p w:rsidR="007D24EA" w:rsidRDefault="007D24EA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CD10</w:t>
      </w:r>
    </w:p>
    <w:p w:rsidR="00BA5CB3" w:rsidRDefault="00BA5CB3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CD138</w:t>
      </w:r>
    </w:p>
    <w:p w:rsidR="00BA5CB3" w:rsidRDefault="00BA5CB3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proofErr w:type="spellStart"/>
      <w:r>
        <w:rPr>
          <w:rFonts w:ascii="Arial" w:hAnsi="Arial" w:cs="Arial"/>
          <w:bCs/>
          <w:color w:val="222222"/>
          <w:sz w:val="21"/>
          <w:szCs w:val="21"/>
        </w:rPr>
        <w:t>cMYC</w:t>
      </w:r>
      <w:proofErr w:type="spellEnd"/>
      <w:r>
        <w:rPr>
          <w:rFonts w:ascii="Arial" w:hAnsi="Arial" w:cs="Arial"/>
          <w:bCs/>
          <w:color w:val="222222"/>
          <w:sz w:val="21"/>
          <w:szCs w:val="21"/>
        </w:rPr>
        <w:t xml:space="preserve"> </w:t>
      </w:r>
    </w:p>
    <w:p w:rsidR="00BA5CB3" w:rsidRDefault="00BA5CB3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MUM-1</w:t>
      </w:r>
    </w:p>
    <w:p w:rsidR="006D0484" w:rsidRDefault="006D0484" w:rsidP="00BA5CB3">
      <w:pPr>
        <w:numPr>
          <w:ilvl w:val="0"/>
          <w:numId w:val="2"/>
        </w:numPr>
        <w:rPr>
          <w:rFonts w:ascii="Arial" w:hAnsi="Arial" w:cs="Arial"/>
          <w:bCs/>
          <w:color w:val="222222"/>
          <w:sz w:val="21"/>
          <w:szCs w:val="21"/>
        </w:rPr>
      </w:pPr>
      <w:r>
        <w:rPr>
          <w:rFonts w:ascii="Arial" w:hAnsi="Arial" w:cs="Arial"/>
          <w:bCs/>
          <w:color w:val="222222"/>
          <w:sz w:val="21"/>
          <w:szCs w:val="21"/>
        </w:rPr>
        <w:t>p53</w:t>
      </w:r>
    </w:p>
    <w:p w:rsidR="006D0484" w:rsidRDefault="006D0484" w:rsidP="006D0484">
      <w:pPr>
        <w:rPr>
          <w:rFonts w:ascii="Arial" w:hAnsi="Arial" w:cs="Arial"/>
          <w:bCs/>
          <w:color w:val="222222"/>
          <w:sz w:val="21"/>
          <w:szCs w:val="21"/>
        </w:rPr>
      </w:pPr>
    </w:p>
    <w:p w:rsidR="00BA5CB3" w:rsidRDefault="00BA5CB3" w:rsidP="00035A6E">
      <w:pPr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402F96" w:rsidRDefault="00BA5CB3" w:rsidP="00035A6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Therapy </w:t>
      </w:r>
      <w:r w:rsidR="00CD62E7">
        <w:rPr>
          <w:rFonts w:ascii="Arial" w:hAnsi="Arial" w:cs="Arial"/>
          <w:b/>
          <w:bCs/>
          <w:color w:val="222222"/>
          <w:sz w:val="21"/>
          <w:szCs w:val="21"/>
        </w:rPr>
        <w:t>Effect</w:t>
      </w:r>
      <w:r w:rsidR="00B25C7E">
        <w:rPr>
          <w:rFonts w:ascii="Arial" w:hAnsi="Arial" w:cs="Arial"/>
          <w:b/>
          <w:bCs/>
          <w:color w:val="222222"/>
          <w:sz w:val="21"/>
          <w:szCs w:val="21"/>
        </w:rPr>
        <w:t>:</w:t>
      </w:r>
      <w:r w:rsidR="00B25C7E"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r w:rsidR="00B25C7E" w:rsidRPr="00B25C7E">
        <w:rPr>
          <w:rFonts w:ascii="Arial" w:hAnsi="Arial" w:cs="Arial"/>
        </w:rPr>
        <w:t xml:space="preserve">In the </w:t>
      </w:r>
      <w:r w:rsidR="00CD62E7">
        <w:rPr>
          <w:rFonts w:ascii="Arial" w:hAnsi="Arial" w:cs="Arial"/>
        </w:rPr>
        <w:t>Germ Center B-cell</w:t>
      </w:r>
      <w:r w:rsidR="00B25C7E" w:rsidRPr="00B25C7E">
        <w:rPr>
          <w:rFonts w:ascii="Arial" w:hAnsi="Arial" w:cs="Arial"/>
        </w:rPr>
        <w:t xml:space="preserve"> group</w:t>
      </w:r>
      <w:r w:rsidR="00CD62E7">
        <w:rPr>
          <w:rFonts w:ascii="Arial" w:hAnsi="Arial" w:cs="Arial"/>
        </w:rPr>
        <w:t xml:space="preserve"> (GCB)</w:t>
      </w:r>
      <w:r w:rsidR="00B25C7E" w:rsidRPr="00B25C7E">
        <w:rPr>
          <w:rFonts w:ascii="Arial" w:hAnsi="Arial" w:cs="Arial"/>
        </w:rPr>
        <w:t>, there was no significant difference in survival rates in patients receiving R-CHOP and CHOP therapy (P &gt; 0.05).</w:t>
      </w:r>
      <w:r w:rsidR="00B25C7E">
        <w:rPr>
          <w:rFonts w:ascii="Arial" w:hAnsi="Arial" w:cs="Arial"/>
        </w:rPr>
        <w:t xml:space="preserve"> </w:t>
      </w:r>
      <w:r w:rsidR="00B25C7E" w:rsidRPr="00B25C7E">
        <w:rPr>
          <w:rFonts w:ascii="Arial" w:hAnsi="Arial" w:cs="Arial"/>
        </w:rPr>
        <w:t xml:space="preserve">In the non-GCB group, the survival rate in patients treated with R-CHOP therapy was significantly longer than those treated with CHOP therapy (5-year survival rate, 62.8 % </w:t>
      </w:r>
      <w:proofErr w:type="spellStart"/>
      <w:r w:rsidR="00B25C7E" w:rsidRPr="00B25C7E">
        <w:rPr>
          <w:rFonts w:ascii="Arial" w:hAnsi="Arial" w:cs="Arial"/>
        </w:rPr>
        <w:t>vs</w:t>
      </w:r>
      <w:proofErr w:type="spellEnd"/>
      <w:r w:rsidR="00B25C7E" w:rsidRPr="00B25C7E">
        <w:rPr>
          <w:rFonts w:ascii="Arial" w:hAnsi="Arial" w:cs="Arial"/>
        </w:rPr>
        <w:t xml:space="preserve"> 30.8 %, P &lt; 0.05).</w:t>
      </w:r>
      <w:r w:rsidR="00B25C7E">
        <w:rPr>
          <w:rFonts w:ascii="Arial" w:hAnsi="Arial" w:cs="Arial"/>
        </w:rPr>
        <w:t xml:space="preserve"> </w:t>
      </w:r>
      <w:proofErr w:type="spellStart"/>
      <w:r w:rsidR="00B25C7E" w:rsidRPr="00B25C7E">
        <w:rPr>
          <w:rFonts w:ascii="Arial" w:hAnsi="Arial" w:cs="Arial"/>
        </w:rPr>
        <w:t>Immunophenotype</w:t>
      </w:r>
      <w:proofErr w:type="spellEnd"/>
      <w:r w:rsidR="00B25C7E" w:rsidRPr="00B25C7E">
        <w:rPr>
          <w:rFonts w:ascii="Arial" w:hAnsi="Arial" w:cs="Arial"/>
        </w:rPr>
        <w:t xml:space="preserve"> classification is also useful in selecting the chemotherapy protocol.</w:t>
      </w:r>
    </w:p>
    <w:p w:rsidR="00B25C7E" w:rsidRDefault="00B25C7E" w:rsidP="00035A6E">
      <w:pPr>
        <w:rPr>
          <w:rFonts w:ascii="Arial" w:hAnsi="Arial" w:cs="Arial"/>
        </w:rPr>
      </w:pPr>
    </w:p>
    <w:p w:rsidR="00B25C7E" w:rsidRDefault="00572DE4" w:rsidP="00035A6E">
      <w:r>
        <w:rPr>
          <w:noProof/>
        </w:rPr>
        <w:drawing>
          <wp:inline distT="0" distB="0" distL="0" distR="0">
            <wp:extent cx="5915025" cy="1219200"/>
            <wp:effectExtent l="19050" t="0" r="9525" b="0"/>
            <wp:docPr id="1" name="Picture 1" descr="Classification of gastrointestinal DLBCL. According to CD10, Bcl-6 and MUM1 expression, 151 cases were classified into GCB and non-GCB ty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fication of gastrointestinal DLBCL. According to CD10, Bcl-6 and MUM1 expression, 151 cases were classified into GCB and non-GCB type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4EA" w:rsidRDefault="007D24EA" w:rsidP="00035A6E">
      <w:pPr>
        <w:rPr>
          <w:rFonts w:ascii="Arial" w:hAnsi="Arial" w:cs="Arial"/>
          <w:sz w:val="22"/>
        </w:rPr>
      </w:pPr>
    </w:p>
    <w:p w:rsidR="00B25C7E" w:rsidRDefault="00B25C7E" w:rsidP="00035A6E">
      <w:pPr>
        <w:rPr>
          <w:rFonts w:ascii="Arial" w:hAnsi="Arial" w:cs="Arial"/>
          <w:sz w:val="22"/>
        </w:rPr>
      </w:pPr>
      <w:r w:rsidRPr="00B25C7E">
        <w:rPr>
          <w:rFonts w:ascii="Arial" w:hAnsi="Arial" w:cs="Arial"/>
          <w:sz w:val="22"/>
        </w:rPr>
        <w:t>Positivity is defined as &gt;30% expression</w:t>
      </w:r>
      <w:r w:rsidR="007D24EA">
        <w:rPr>
          <w:rFonts w:ascii="Arial" w:hAnsi="Arial" w:cs="Arial"/>
          <w:sz w:val="22"/>
        </w:rPr>
        <w:t xml:space="preserve"> (except for </w:t>
      </w:r>
      <w:proofErr w:type="spellStart"/>
      <w:r w:rsidR="007D24EA">
        <w:rPr>
          <w:rFonts w:ascii="Arial" w:hAnsi="Arial" w:cs="Arial"/>
          <w:sz w:val="22"/>
        </w:rPr>
        <w:t>cMYC</w:t>
      </w:r>
      <w:proofErr w:type="spellEnd"/>
      <w:r w:rsidR="007D24EA">
        <w:rPr>
          <w:rFonts w:ascii="Arial" w:hAnsi="Arial" w:cs="Arial"/>
          <w:sz w:val="22"/>
        </w:rPr>
        <w:t xml:space="preserve"> with is &gt;50%)</w:t>
      </w:r>
    </w:p>
    <w:p w:rsidR="00B25C7E" w:rsidRPr="00B25C7E" w:rsidRDefault="00B25C7E" w:rsidP="00035A6E">
      <w:pPr>
        <w:rPr>
          <w:rFonts w:ascii="Arial" w:hAnsi="Arial" w:cs="Arial"/>
          <w:sz w:val="22"/>
        </w:rPr>
      </w:pPr>
    </w:p>
    <w:p w:rsidR="00B25C7E" w:rsidRPr="00B25C7E" w:rsidRDefault="00B25C7E" w:rsidP="00035A6E">
      <w:pPr>
        <w:rPr>
          <w:rFonts w:ascii="Arial" w:hAnsi="Arial" w:cs="Arial"/>
          <w:b/>
          <w:color w:val="000000"/>
          <w:sz w:val="22"/>
        </w:rPr>
      </w:pPr>
      <w:r w:rsidRPr="00B25C7E">
        <w:rPr>
          <w:rFonts w:ascii="Arial" w:hAnsi="Arial" w:cs="Arial"/>
          <w:b/>
          <w:color w:val="000000"/>
          <w:sz w:val="22"/>
        </w:rPr>
        <w:t>Prognosis:</w:t>
      </w:r>
    </w:p>
    <w:p w:rsidR="00B25C7E" w:rsidRPr="00B25C7E" w:rsidRDefault="00B25C7E" w:rsidP="00B25C7E">
      <w:pPr>
        <w:numPr>
          <w:ilvl w:val="0"/>
          <w:numId w:val="1"/>
        </w:numPr>
        <w:rPr>
          <w:rFonts w:ascii="Arial" w:hAnsi="Arial" w:cs="Arial"/>
        </w:rPr>
      </w:pPr>
      <w:r w:rsidRPr="00572DE4">
        <w:rPr>
          <w:rFonts w:ascii="Arial" w:hAnsi="Arial" w:cs="Arial"/>
          <w:b/>
          <w:color w:val="000000"/>
        </w:rPr>
        <w:t>Favorable</w:t>
      </w:r>
      <w:r>
        <w:rPr>
          <w:rFonts w:ascii="Arial" w:hAnsi="Arial" w:cs="Arial"/>
          <w:color w:val="000000"/>
        </w:rPr>
        <w:t>: germinal center gene expres</w:t>
      </w:r>
      <w:r w:rsidR="00572DE4">
        <w:rPr>
          <w:rFonts w:ascii="Arial" w:hAnsi="Arial" w:cs="Arial"/>
          <w:color w:val="000000"/>
        </w:rPr>
        <w:t>sion (</w:t>
      </w:r>
      <w:r w:rsidR="00CD62E7">
        <w:rPr>
          <w:rFonts w:ascii="Arial" w:hAnsi="Arial" w:cs="Arial"/>
          <w:color w:val="000000"/>
        </w:rPr>
        <w:t xml:space="preserve">GCB = </w:t>
      </w:r>
      <w:r w:rsidR="00572DE4">
        <w:rPr>
          <w:rFonts w:ascii="Arial" w:hAnsi="Arial" w:cs="Arial"/>
          <w:color w:val="000000"/>
        </w:rPr>
        <w:t>BCL</w:t>
      </w:r>
      <w:r>
        <w:rPr>
          <w:rFonts w:ascii="Arial" w:hAnsi="Arial" w:cs="Arial"/>
          <w:color w:val="000000"/>
        </w:rPr>
        <w:t>6</w:t>
      </w:r>
      <w:r w:rsidR="00572DE4">
        <w:rPr>
          <w:rFonts w:ascii="Arial" w:hAnsi="Arial" w:cs="Arial"/>
          <w:color w:val="000000"/>
        </w:rPr>
        <w:t>+ or</w:t>
      </w:r>
      <w:r w:rsidR="00BA5CB3">
        <w:rPr>
          <w:rFonts w:ascii="Arial" w:hAnsi="Arial" w:cs="Arial"/>
          <w:color w:val="000000"/>
        </w:rPr>
        <w:t xml:space="preserve"> CD10+, negative for MUM1</w:t>
      </w:r>
      <w:r w:rsidR="00572DE4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 xml:space="preserve">CD138) </w:t>
      </w:r>
      <w:r w:rsidR="00CD62E7">
        <w:rPr>
          <w:rFonts w:ascii="Arial" w:hAnsi="Arial" w:cs="Arial"/>
          <w:color w:val="000000"/>
        </w:rPr>
        <w:t>vs.</w:t>
      </w:r>
      <w:r>
        <w:rPr>
          <w:rFonts w:ascii="Arial" w:hAnsi="Arial" w:cs="Arial"/>
          <w:color w:val="000000"/>
        </w:rPr>
        <w:t xml:space="preserve"> </w:t>
      </w:r>
      <w:r w:rsidR="00CD62E7">
        <w:rPr>
          <w:rFonts w:ascii="Arial" w:hAnsi="Arial" w:cs="Arial"/>
          <w:color w:val="000000"/>
        </w:rPr>
        <w:t xml:space="preserve">the poorer prognosis for the </w:t>
      </w:r>
      <w:r>
        <w:rPr>
          <w:rFonts w:ascii="Arial" w:hAnsi="Arial" w:cs="Arial"/>
          <w:color w:val="000000"/>
        </w:rPr>
        <w:t>activated B cell-like profile (</w:t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Am J </w:t>
        </w:r>
        <w:proofErr w:type="spellStart"/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Surg</w:t>
        </w:r>
        <w:proofErr w:type="spellEnd"/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Pathol</w:t>
        </w:r>
        <w:proofErr w:type="spellEnd"/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2004;28:464</w:t>
        </w:r>
      </w:hyperlink>
      <w:r>
        <w:rPr>
          <w:rFonts w:ascii="Arial" w:hAnsi="Arial" w:cs="Arial"/>
          <w:color w:val="000000"/>
        </w:rPr>
        <w:t>)</w:t>
      </w:r>
    </w:p>
    <w:p w:rsidR="00572DE4" w:rsidRPr="00572DE4" w:rsidRDefault="00B25C7E" w:rsidP="00572DE4">
      <w:pPr>
        <w:numPr>
          <w:ilvl w:val="0"/>
          <w:numId w:val="1"/>
        </w:numPr>
        <w:rPr>
          <w:rFonts w:ascii="Arial" w:hAnsi="Arial" w:cs="Arial"/>
        </w:rPr>
      </w:pPr>
      <w:r w:rsidRPr="00572DE4">
        <w:rPr>
          <w:rFonts w:ascii="Arial" w:hAnsi="Arial" w:cs="Arial"/>
          <w:b/>
          <w:color w:val="000000"/>
        </w:rPr>
        <w:t>Unfavorable</w:t>
      </w:r>
      <w:r w:rsidR="00572DE4">
        <w:rPr>
          <w:rFonts w:ascii="Arial" w:hAnsi="Arial" w:cs="Arial"/>
          <w:color w:val="000000"/>
        </w:rPr>
        <w:t xml:space="preserve"> (</w:t>
      </w:r>
      <w:hyperlink r:id="rId10" w:history="1">
        <w:r w:rsidR="00572DE4">
          <w:rPr>
            <w:rStyle w:val="Hyperlink"/>
            <w:rFonts w:ascii="Arial" w:hAnsi="Arial" w:cs="Arial"/>
            <w:b/>
            <w:bCs/>
            <w:color w:val="008000"/>
            <w:sz w:val="18"/>
            <w:szCs w:val="18"/>
          </w:rPr>
          <w:t xml:space="preserve">Am J </w:t>
        </w:r>
        <w:proofErr w:type="spellStart"/>
        <w:r w:rsidR="00572DE4">
          <w:rPr>
            <w:rStyle w:val="Hyperlink"/>
            <w:rFonts w:ascii="Arial" w:hAnsi="Arial" w:cs="Arial"/>
            <w:b/>
            <w:bCs/>
            <w:color w:val="008000"/>
            <w:sz w:val="18"/>
            <w:szCs w:val="18"/>
          </w:rPr>
          <w:t>Clin</w:t>
        </w:r>
        <w:proofErr w:type="spellEnd"/>
        <w:r w:rsidR="00572DE4">
          <w:rPr>
            <w:rStyle w:val="Hyperlink"/>
            <w:rFonts w:ascii="Arial" w:hAnsi="Arial" w:cs="Arial"/>
            <w:b/>
            <w:bCs/>
            <w:color w:val="008000"/>
            <w:sz w:val="18"/>
            <w:szCs w:val="18"/>
          </w:rPr>
          <w:t xml:space="preserve"> Path 2001;116:183</w:t>
        </w:r>
      </w:hyperlink>
      <w:r w:rsidR="00572DE4">
        <w:rPr>
          <w:rFonts w:ascii="Arial" w:hAnsi="Arial" w:cs="Arial"/>
          <w:color w:val="000000"/>
        </w:rPr>
        <w:t>)</w:t>
      </w:r>
      <w:r w:rsidR="00572DE4">
        <w:rPr>
          <w:rFonts w:ascii="Arial" w:hAnsi="Arial" w:cs="Arial"/>
        </w:rPr>
        <w:t>:</w:t>
      </w:r>
    </w:p>
    <w:p w:rsidR="00572DE4" w:rsidRPr="00572DE4" w:rsidRDefault="00572DE4" w:rsidP="00572DE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1) </w:t>
      </w:r>
      <w:r w:rsidR="00B25C7E">
        <w:rPr>
          <w:rFonts w:ascii="Arial" w:hAnsi="Arial" w:cs="Arial"/>
          <w:color w:val="000000"/>
        </w:rPr>
        <w:t>CD10+</w:t>
      </w:r>
      <w:r>
        <w:rPr>
          <w:rFonts w:ascii="Arial" w:hAnsi="Arial" w:cs="Arial"/>
          <w:color w:val="000000"/>
        </w:rPr>
        <w:t xml:space="preserve"> or BCL-6+ with </w:t>
      </w:r>
      <w:r w:rsidR="00B25C7E"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</w:rPr>
        <w:t>-</w:t>
      </w:r>
      <w:r w:rsidR="00B25C7E">
        <w:rPr>
          <w:rFonts w:ascii="Arial" w:hAnsi="Arial" w:cs="Arial"/>
          <w:color w:val="000000"/>
        </w:rPr>
        <w:t>expression</w:t>
      </w:r>
      <w:r>
        <w:rPr>
          <w:rFonts w:ascii="Arial" w:hAnsi="Arial" w:cs="Arial"/>
          <w:color w:val="000000"/>
        </w:rPr>
        <w:t xml:space="preserve"> of MUM-1 or CD138</w:t>
      </w:r>
      <w:r w:rsidR="00B25C7E">
        <w:rPr>
          <w:rFonts w:ascii="Arial" w:hAnsi="Arial" w:cs="Arial"/>
          <w:color w:val="000000"/>
        </w:rPr>
        <w:t xml:space="preserve"> </w:t>
      </w:r>
      <w:r w:rsidR="00CD62E7">
        <w:rPr>
          <w:rFonts w:ascii="Arial" w:hAnsi="Arial" w:cs="Arial"/>
          <w:color w:val="000000"/>
        </w:rPr>
        <w:t>(intermediate activation)</w:t>
      </w:r>
    </w:p>
    <w:p w:rsidR="00327E14" w:rsidRDefault="00572DE4" w:rsidP="00327E14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2) MUM-1+ or CD138+ without expression of CD10 or BCL-6</w:t>
      </w:r>
      <w:r w:rsidR="00CD62E7">
        <w:rPr>
          <w:rFonts w:ascii="Arial" w:hAnsi="Arial" w:cs="Arial"/>
          <w:color w:val="000000"/>
        </w:rPr>
        <w:t xml:space="preserve"> (activated profile)</w:t>
      </w:r>
    </w:p>
    <w:p w:rsidR="00327E14" w:rsidRPr="00327E14" w:rsidRDefault="00327E14" w:rsidP="00327E14">
      <w:pPr>
        <w:numPr>
          <w:ilvl w:val="0"/>
          <w:numId w:val="1"/>
        </w:numPr>
        <w:rPr>
          <w:rFonts w:ascii="Arial" w:hAnsi="Arial" w:cs="Arial"/>
        </w:rPr>
      </w:pPr>
      <w:r w:rsidRPr="00327E14">
        <w:rPr>
          <w:rFonts w:ascii="Arial" w:hAnsi="Arial" w:cs="Arial"/>
          <w:b/>
        </w:rPr>
        <w:t>Unfavorable</w:t>
      </w:r>
      <w:r>
        <w:rPr>
          <w:rFonts w:ascii="Arial" w:hAnsi="Arial" w:cs="Arial"/>
        </w:rPr>
        <w:t>: p53+, CD5+, BCL-2+, high Ki-67</w:t>
      </w:r>
    </w:p>
    <w:p w:rsidR="00B25C7E" w:rsidRPr="00BA5CB3" w:rsidRDefault="00B25C7E" w:rsidP="00B25C7E">
      <w:pPr>
        <w:numPr>
          <w:ilvl w:val="0"/>
          <w:numId w:val="1"/>
        </w:numPr>
        <w:rPr>
          <w:rFonts w:ascii="Arial" w:hAnsi="Arial" w:cs="Arial"/>
        </w:rPr>
      </w:pPr>
      <w:r w:rsidRPr="00572DE4">
        <w:rPr>
          <w:rFonts w:ascii="Arial" w:hAnsi="Arial" w:cs="Arial"/>
          <w:b/>
          <w:color w:val="000000"/>
        </w:rPr>
        <w:t>Unfavorable</w:t>
      </w:r>
      <w:r>
        <w:rPr>
          <w:rFonts w:ascii="Arial" w:hAnsi="Arial" w:cs="Arial"/>
          <w:color w:val="000000"/>
        </w:rPr>
        <w:t xml:space="preserve">: c-MYC expression </w:t>
      </w:r>
      <w:r w:rsidR="00BA5CB3">
        <w:rPr>
          <w:rFonts w:ascii="Arial" w:hAnsi="Arial" w:cs="Arial"/>
          <w:color w:val="000000"/>
        </w:rPr>
        <w:t xml:space="preserve">(&gt;50% of cells).  Not overcome by </w:t>
      </w:r>
      <w:proofErr w:type="spellStart"/>
      <w:r w:rsidR="00BA5CB3">
        <w:rPr>
          <w:rFonts w:ascii="Arial" w:hAnsi="Arial" w:cs="Arial"/>
          <w:color w:val="000000"/>
        </w:rPr>
        <w:t>rituximab</w:t>
      </w:r>
      <w:proofErr w:type="spellEnd"/>
      <w:r w:rsidR="00BA5CB3">
        <w:rPr>
          <w:rFonts w:ascii="Arial" w:hAnsi="Arial" w:cs="Arial"/>
          <w:color w:val="000000"/>
        </w:rPr>
        <w:t xml:space="preserve"> therapy.</w:t>
      </w:r>
    </w:p>
    <w:p w:rsidR="00BA5CB3" w:rsidRPr="00D91750" w:rsidRDefault="00BA5CB3" w:rsidP="00BA5CB3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There is consensus that</w:t>
      </w:r>
      <w:r>
        <w:rPr>
          <w:rStyle w:val="apple-converted-space"/>
          <w:rFonts w:ascii="Helvetica" w:hAnsi="Helvetica" w:cs="Helvetica"/>
          <w:color w:val="403838"/>
          <w:sz w:val="19"/>
          <w:szCs w:val="19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03838"/>
          <w:sz w:val="19"/>
          <w:szCs w:val="19"/>
          <w:bdr w:val="none" w:sz="0" w:space="0" w:color="auto" w:frame="1"/>
          <w:shd w:val="clear" w:color="auto" w:fill="FFFFFF"/>
        </w:rPr>
        <w:t>MYC</w:t>
      </w:r>
      <w:r>
        <w:rPr>
          <w:rStyle w:val="apple-converted-space"/>
          <w:rFonts w:ascii="Helvetica" w:hAnsi="Helvetica" w:cs="Helvetica"/>
          <w:color w:val="403838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 xml:space="preserve">translocations confer a worse prognosis in patients with DLBCL treated with </w:t>
      </w:r>
      <w:proofErr w:type="spellStart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cyclophosphamide</w:t>
      </w:r>
      <w:proofErr w:type="spellEnd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 xml:space="preserve">, doxorubicin, </w:t>
      </w:r>
      <w:proofErr w:type="spellStart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vincristine</w:t>
      </w:r>
      <w:proofErr w:type="spellEnd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 xml:space="preserve">, and prednisone (CHOP), both in combination with and without </w:t>
      </w:r>
      <w:proofErr w:type="spellStart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rituximab</w:t>
      </w:r>
      <w:proofErr w:type="spellEnd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403838"/>
          <w:sz w:val="19"/>
          <w:szCs w:val="19"/>
          <w:shd w:val="clear" w:color="auto" w:fill="FFFFFF"/>
        </w:rPr>
        <w:t> </w:t>
      </w:r>
      <w:r>
        <w:rPr>
          <w:rStyle w:val="Emphasis"/>
          <w:rFonts w:ascii="Helvetica" w:hAnsi="Helvetica" w:cs="Helvetica"/>
          <w:color w:val="403838"/>
          <w:sz w:val="19"/>
          <w:szCs w:val="19"/>
          <w:bdr w:val="none" w:sz="0" w:space="0" w:color="auto" w:frame="1"/>
          <w:shd w:val="clear" w:color="auto" w:fill="FFFFFF"/>
        </w:rPr>
        <w:t>MYC</w:t>
      </w:r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 xml:space="preserve">-break positive DLBCL cases may also </w:t>
      </w:r>
      <w:proofErr w:type="spellStart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coexpress</w:t>
      </w:r>
      <w:proofErr w:type="spellEnd"/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 xml:space="preserve"> high levels of BCL2, and up to half of these cases have a concurrent translocation involving BCL2. These so-called double hit (DH) DLBCLs have a dismal prognosis (</w:t>
      </w:r>
      <w:hyperlink r:id="rId11" w:history="1">
        <w:r w:rsidR="00D91750" w:rsidRPr="009F40A3">
          <w:rPr>
            <w:rStyle w:val="Hyperlink"/>
            <w:rFonts w:ascii="Helvetica" w:hAnsi="Helvetica" w:cs="Helvetica"/>
            <w:sz w:val="19"/>
            <w:szCs w:val="19"/>
            <w:shd w:val="clear" w:color="auto" w:fill="FFFFFF"/>
          </w:rPr>
          <w:t>http://jco.ascopubs.org/content/30/28/3433.full</w:t>
        </w:r>
      </w:hyperlink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)</w:t>
      </w:r>
    </w:p>
    <w:p w:rsidR="00B25C7E" w:rsidRPr="00825918" w:rsidRDefault="00D91750" w:rsidP="00035A6E">
      <w:pPr>
        <w:numPr>
          <w:ilvl w:val="0"/>
          <w:numId w:val="1"/>
        </w:numPr>
        <w:rPr>
          <w:rFonts w:ascii="Arial" w:hAnsi="Arial" w:cs="Arial"/>
        </w:rPr>
      </w:pPr>
      <w:r w:rsidRPr="00D91750">
        <w:rPr>
          <w:rFonts w:ascii="Helvetica" w:hAnsi="Helvetica" w:cs="Helvetica"/>
          <w:b/>
          <w:color w:val="403838"/>
          <w:sz w:val="19"/>
          <w:szCs w:val="19"/>
          <w:shd w:val="clear" w:color="auto" w:fill="FFFFFF"/>
        </w:rPr>
        <w:t>Very Unfavorable</w:t>
      </w:r>
      <w:r>
        <w:rPr>
          <w:rFonts w:ascii="Helvetica" w:hAnsi="Helvetica" w:cs="Helvetica"/>
          <w:color w:val="403838"/>
          <w:sz w:val="19"/>
          <w:szCs w:val="19"/>
          <w:shd w:val="clear" w:color="auto" w:fill="FFFFFF"/>
        </w:rPr>
        <w:t>:  c-MYC with increased BCL-2 (“double hit DLBCLs” – see above).</w:t>
      </w:r>
    </w:p>
    <w:sectPr w:rsidR="00B25C7E" w:rsidRPr="00825918" w:rsidSect="003A1C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0" w:right="1080" w:bottom="1440" w:left="1080" w:header="27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95" w:rsidRDefault="00606395">
      <w:r>
        <w:separator/>
      </w:r>
    </w:p>
  </w:endnote>
  <w:endnote w:type="continuationSeparator" w:id="0">
    <w:p w:rsidR="00606395" w:rsidRDefault="0060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7" w:rsidRDefault="00E029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7" w:rsidRDefault="00E029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CB" w:rsidRDefault="003E7A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418.05pt;margin-top:2.7pt;width:84.95pt;height:27pt;z-index:251663360" filled="f" stroked="f">
          <v:textbox style="mso-next-textbox:#_x0000_s1088" inset="0,0,0,0">
            <w:txbxContent>
              <w:p w:rsidR="00F91B05" w:rsidRPr="00D21399" w:rsidRDefault="00F91B05" w:rsidP="00F91B05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Julia E. Mooney</w:t>
                </w: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, M.D.</w:t>
                </w:r>
              </w:p>
              <w:p w:rsidR="00F91B05" w:rsidRPr="00D21399" w:rsidRDefault="00F91B05" w:rsidP="00F91B05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95" w:rsidRDefault="00606395">
      <w:r>
        <w:separator/>
      </w:r>
    </w:p>
  </w:footnote>
  <w:footnote w:type="continuationSeparator" w:id="0">
    <w:p w:rsidR="00606395" w:rsidRDefault="00606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7" w:rsidRDefault="00E029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B7" w:rsidRDefault="00E029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C4" w:rsidRDefault="00572DE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171450</wp:posOffset>
          </wp:positionV>
          <wp:extent cx="4295775" cy="923925"/>
          <wp:effectExtent l="19050" t="0" r="9525" b="0"/>
          <wp:wrapNone/>
          <wp:docPr id="63" name="Picture 63" descr="logo's 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logo's 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7A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103.05pt;margin-top:85.5pt;width:180pt;height:18pt;z-index:251661312;mso-position-horizontal-relative:text;mso-position-vertical-relative:text" filled="f" stroked="f">
          <v:textbox style="mso-next-textbox:#_x0000_s1084" inset="0,0,0,0">
            <w:txbxContent>
              <w:p w:rsidR="00AD76C4" w:rsidRPr="0006190E" w:rsidRDefault="00F91B05" w:rsidP="007A171E">
                <w:pPr>
                  <w:rPr>
                    <w:i/>
                    <w:color w:val="20616A"/>
                    <w:szCs w:val="48"/>
                  </w:rPr>
                </w:pPr>
                <w:proofErr w:type="gramStart"/>
                <w:r w:rsidRPr="0006190E">
                  <w:rPr>
                    <w:i/>
                    <w:color w:val="20616A"/>
                    <w:szCs w:val="48"/>
                  </w:rPr>
                  <w:t>Serving Northern California since 1953.</w:t>
                </w:r>
                <w:proofErr w:type="gramEnd"/>
              </w:p>
            </w:txbxContent>
          </v:textbox>
          <w10:anchorlock/>
        </v:shape>
      </w:pict>
    </w:r>
    <w:r w:rsidR="003E7ADF">
      <w:rPr>
        <w:noProof/>
      </w:rPr>
      <w:pict>
        <v:shape id="_x0000_s1083" type="#_x0000_t202" style="position:absolute;margin-left:-41pt;margin-top:57pt;width:211.35pt;height:18pt;z-index:251660288;mso-position-horizontal-relative:text;mso-position-vertical-relative:text" filled="f" stroked="f">
          <v:textbox style="mso-next-textbox:#_x0000_s1083" inset="0,0,0,0">
            <w:txbxContent>
              <w:p w:rsidR="00AD76C4" w:rsidRPr="00A05D2E" w:rsidRDefault="00AD76C4" w:rsidP="003A1CCD">
                <w:pPr>
                  <w:jc w:val="center"/>
                  <w:rPr>
                    <w:rFonts w:ascii="Arial" w:hAnsi="Arial" w:cs="Arial"/>
                    <w:i/>
                    <w:color w:val="8A1D04"/>
                    <w:sz w:val="18"/>
                    <w:szCs w:val="18"/>
                  </w:rPr>
                </w:pPr>
                <w:r w:rsidRPr="00A05D2E">
                  <w:rPr>
                    <w:rFonts w:ascii="Arial" w:hAnsi="Arial" w:cs="Arial"/>
                    <w:i/>
                    <w:color w:val="8A1D04"/>
                    <w:sz w:val="18"/>
                    <w:szCs w:val="18"/>
                  </w:rPr>
                  <w:t xml:space="preserve">Serving the </w:t>
                </w:r>
                <w:proofErr w:type="spellStart"/>
                <w:r w:rsidRPr="00A05D2E">
                  <w:rPr>
                    <w:rFonts w:ascii="Arial" w:hAnsi="Arial" w:cs="Arial"/>
                    <w:i/>
                    <w:color w:val="8A1D04"/>
                    <w:sz w:val="18"/>
                    <w:szCs w:val="18"/>
                  </w:rPr>
                  <w:t>NorthState</w:t>
                </w:r>
                <w:proofErr w:type="spellEnd"/>
                <w:r w:rsidRPr="00A05D2E">
                  <w:rPr>
                    <w:rFonts w:ascii="Arial" w:hAnsi="Arial" w:cs="Arial"/>
                    <w:i/>
                    <w:color w:val="8A1D04"/>
                    <w:sz w:val="18"/>
                    <w:szCs w:val="18"/>
                  </w:rPr>
                  <w:t xml:space="preserve"> since 1953</w:t>
                </w:r>
              </w:p>
            </w:txbxContent>
          </v:textbox>
          <w10:anchorlock/>
        </v:shape>
      </w:pict>
    </w:r>
    <w:r w:rsidR="003E7ADF">
      <w:rPr>
        <w:noProof/>
      </w:rPr>
      <w:pict>
        <v:shape id="_x0000_s1082" type="#_x0000_t202" style="position:absolute;margin-left:328.05pt;margin-top:31.5pt;width:108.9pt;height:36pt;z-index:251659264;mso-position-horizontal-relative:text;mso-position-vertical-relative:text" filled="f" stroked="f">
          <v:textbox style="mso-next-textbox:#_x0000_s1082" inset="0,0,0,0">
            <w:txbxContent>
              <w:p w:rsidR="00AD76C4" w:rsidRPr="00A05D2E" w:rsidRDefault="00AD76C4" w:rsidP="003A1CCD">
                <w:pPr>
                  <w:rPr>
                    <w:rFonts w:ascii="Arial" w:hAnsi="Arial" w:cs="Arial"/>
                    <w:color w:val="8A1D04"/>
                    <w:sz w:val="22"/>
                    <w:szCs w:val="22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A05D2E">
                      <w:rPr>
                        <w:rFonts w:ascii="Arial" w:hAnsi="Arial" w:cs="Arial"/>
                        <w:color w:val="8A1D04"/>
                        <w:sz w:val="22"/>
                        <w:szCs w:val="22"/>
                      </w:rPr>
                      <w:t>2036 Railroad Avenue</w:t>
                    </w:r>
                  </w:smartTag>
                </w:smartTag>
              </w:p>
              <w:p w:rsidR="00AD76C4" w:rsidRPr="00A05D2E" w:rsidRDefault="00AD76C4" w:rsidP="003A1CCD">
                <w:pPr>
                  <w:rPr>
                    <w:rFonts w:ascii="Arial" w:hAnsi="Arial" w:cs="Arial"/>
                    <w:color w:val="8A1D04"/>
                    <w:sz w:val="22"/>
                    <w:szCs w:val="22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05D2E">
                      <w:rPr>
                        <w:rFonts w:ascii="Arial" w:hAnsi="Arial" w:cs="Arial"/>
                        <w:color w:val="8A1D04"/>
                        <w:sz w:val="22"/>
                        <w:szCs w:val="22"/>
                      </w:rPr>
                      <w:t>Redding</w:t>
                    </w:r>
                  </w:smartTag>
                  <w:r w:rsidRPr="00A05D2E">
                    <w:rPr>
                      <w:rFonts w:ascii="Arial" w:hAnsi="Arial" w:cs="Arial"/>
                      <w:color w:val="8A1D04"/>
                      <w:sz w:val="22"/>
                      <w:szCs w:val="22"/>
                    </w:rPr>
                    <w:t xml:space="preserve">, </w:t>
                  </w:r>
                  <w:smartTag w:uri="urn:schemas-microsoft-com:office:smarttags" w:element="State">
                    <w:r w:rsidRPr="00A05D2E">
                      <w:rPr>
                        <w:rFonts w:ascii="Arial" w:hAnsi="Arial" w:cs="Arial"/>
                        <w:color w:val="8A1D04"/>
                        <w:sz w:val="22"/>
                        <w:szCs w:val="22"/>
                      </w:rPr>
                      <w:t>CA</w:t>
                    </w:r>
                  </w:smartTag>
                  <w:r w:rsidRPr="00A05D2E">
                    <w:rPr>
                      <w:rFonts w:ascii="Arial" w:hAnsi="Arial" w:cs="Arial"/>
                      <w:color w:val="8A1D04"/>
                      <w:sz w:val="22"/>
                      <w:szCs w:val="22"/>
                    </w:rPr>
                    <w:t xml:space="preserve">  </w:t>
                  </w:r>
                  <w:smartTag w:uri="urn:schemas-microsoft-com:office:smarttags" w:element="PostalCode">
                    <w:r w:rsidRPr="00A05D2E">
                      <w:rPr>
                        <w:rFonts w:ascii="Arial" w:hAnsi="Arial" w:cs="Arial"/>
                        <w:color w:val="8A1D04"/>
                        <w:sz w:val="22"/>
                        <w:szCs w:val="22"/>
                      </w:rPr>
                      <w:t>96001</w:t>
                    </w:r>
                  </w:smartTag>
                </w:smartTag>
              </w:p>
              <w:p w:rsidR="00AD76C4" w:rsidRPr="00A05D2E" w:rsidRDefault="00AD76C4" w:rsidP="003A1CCD">
                <w:pPr>
                  <w:rPr>
                    <w:rFonts w:ascii="Arial" w:hAnsi="Arial" w:cs="Arial"/>
                    <w:color w:val="8A1D04"/>
                    <w:sz w:val="22"/>
                    <w:szCs w:val="22"/>
                  </w:rPr>
                </w:pPr>
                <w:r w:rsidRPr="00A05D2E">
                  <w:rPr>
                    <w:rFonts w:ascii="Arial" w:hAnsi="Arial" w:cs="Arial"/>
                    <w:color w:val="8A1D04"/>
                    <w:sz w:val="22"/>
                    <w:szCs w:val="22"/>
                  </w:rPr>
                  <w:t>530-255-1000</w:t>
                </w:r>
              </w:p>
            </w:txbxContent>
          </v:textbox>
          <w10:anchorlock/>
        </v:shape>
      </w:pict>
    </w:r>
    <w:r w:rsidR="003E7ADF">
      <w:rPr>
        <w:noProof/>
      </w:rPr>
      <w:pict>
        <v:shape id="_x0000_s1079" type="#_x0000_t202" style="position:absolute;margin-left:-4.95pt;margin-top:733.5pt;width:84.75pt;height:18pt;z-index:251658240;mso-position-horizontal-relative:text;mso-position-vertical-relative:text" filled="f" stroked="f">
          <v:textbox style="mso-next-textbox:#_x0000_s1079" inset="0,0,0,0">
            <w:txbxContent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Don V. Stanton, M.D.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</w:txbxContent>
          </v:textbox>
          <w10:anchorlock/>
        </v:shape>
      </w:pict>
    </w:r>
    <w:r w:rsidR="003E7ADF">
      <w:rPr>
        <w:noProof/>
      </w:rPr>
      <w:pict>
        <v:shape id="_x0000_s1078" type="#_x0000_t202" style="position:absolute;margin-left:85.05pt;margin-top:733.5pt;width:84.75pt;height:18pt;z-index:251657216;mso-position-horizontal-relative:text;mso-position-vertical-relative:text" filled="f" stroked="f">
          <v:textbox style="mso-next-textbox:#_x0000_s1078" inset="0,0,0,0">
            <w:txbxContent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Tikoes A. Blankenberg, M.D.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</w:txbxContent>
          </v:textbox>
          <w10:anchorlock/>
        </v:shape>
      </w:pict>
    </w:r>
    <w:r w:rsidR="003E7ADF">
      <w:rPr>
        <w:noProof/>
      </w:rPr>
      <w:pict>
        <v:shape id="_x0000_s1077" type="#_x0000_t202" style="position:absolute;margin-left:166.05pt;margin-top:733.5pt;width:84.75pt;height:18pt;z-index:251656192;mso-position-horizontal-relative:text;mso-position-vertical-relative:text" filled="f" stroked="f">
          <v:textbox style="mso-next-textbox:#_x0000_s1077" inset="0,0,0,0">
            <w:txbxContent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Mark W. Ramus, M.D.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</w:txbxContent>
          </v:textbox>
          <w10:anchorlock/>
        </v:shape>
      </w:pict>
    </w:r>
    <w:r w:rsidR="003E7ADF">
      <w:rPr>
        <w:noProof/>
      </w:rPr>
      <w:pict>
        <v:shape id="_x0000_s1076" type="#_x0000_t202" style="position:absolute;margin-left:247.05pt;margin-top:733.5pt;width:84.95pt;height:27pt;z-index:251655168;mso-position-horizontal-relative:text;mso-position-vertical-relative:text" filled="f" stroked="f">
          <v:textbox style="mso-next-textbox:#_x0000_s1076" inset="0,0,0,0">
            <w:txbxContent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Sean D. Pitman, M.D.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proofErr w:type="spellStart"/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Hematopathology</w:t>
                </w:r>
                <w:proofErr w:type="spellEnd"/>
              </w:p>
            </w:txbxContent>
          </v:textbox>
          <w10:anchorlock/>
        </v:shape>
      </w:pict>
    </w:r>
    <w:r w:rsidR="003E7ADF">
      <w:rPr>
        <w:noProof/>
      </w:rPr>
      <w:pict>
        <v:shape id="_x0000_s1075" type="#_x0000_t202" style="position:absolute;margin-left:337.05pt;margin-top:733.5pt;width:84.95pt;height:27pt;z-index:251654144;mso-position-horizontal-relative:text;mso-position-vertical-relative:text" filled="f" stroked="f">
          <v:textbox style="mso-next-textbox:#_x0000_s1075" inset="0,0,0,0">
            <w:txbxContent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Allen D. Morris, M.D.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</w:pPr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Anatomic &amp; Clinical Pathology</w:t>
                </w:r>
              </w:p>
              <w:p w:rsidR="00AD76C4" w:rsidRPr="00D21399" w:rsidRDefault="00AD76C4" w:rsidP="003A1CCD">
                <w:pPr>
                  <w:jc w:val="center"/>
                  <w:rPr>
                    <w:rFonts w:ascii="Arial Narrow" w:hAnsi="Arial Narrow"/>
                    <w:sz w:val="14"/>
                    <w:szCs w:val="14"/>
                  </w:rPr>
                </w:pPr>
                <w:proofErr w:type="spellStart"/>
                <w:r w:rsidRPr="00D21399">
                  <w:rPr>
                    <w:rFonts w:ascii="Arial Narrow" w:hAnsi="Arial Narrow" w:cs="Arial"/>
                    <w:color w:val="8A1D04"/>
                    <w:sz w:val="14"/>
                    <w:szCs w:val="14"/>
                  </w:rPr>
                  <w:t>Cytopathology</w:t>
                </w:r>
                <w:proofErr w:type="spellEnd"/>
              </w:p>
            </w:txbxContent>
          </v:textbox>
          <w10:anchorlock/>
        </v:shape>
      </w:pict>
    </w:r>
    <w:r w:rsidR="003E7ADF">
      <w:rPr>
        <w:noProof/>
      </w:rPr>
      <w:pict>
        <v:line id="_x0000_s1074" style="position:absolute;z-index:251653120;mso-position-horizontal-relative:text;mso-position-vertical-relative:text" from="-42pt,6.75pt" to="543pt,6.75pt" strokecolor="#8a1d04" strokeweight="3.5pt">
          <w10:anchorlock/>
        </v:line>
      </w:pict>
    </w:r>
    <w:r w:rsidR="003E7ADF">
      <w:rPr>
        <w:noProof/>
      </w:rPr>
      <w:pict>
        <v:line id="_x0000_s1073" style="position:absolute;z-index:251652096;mso-position-horizontal-relative:text;mso-position-vertical-relative:text" from="-42pt,724.5pt" to="543pt,724.5pt" strokecolor="#8a1d04" strokeweight="3.5pt">
          <w10:anchorlock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D96"/>
    <w:multiLevelType w:val="hybridMultilevel"/>
    <w:tmpl w:val="A518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303B4"/>
    <w:multiLevelType w:val="hybridMultilevel"/>
    <w:tmpl w:val="6916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ru v:ext="edit" colors="#8a1d04,#2b635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A5CB3"/>
    <w:rsid w:val="00035A6E"/>
    <w:rsid w:val="0006190E"/>
    <w:rsid w:val="00065BF4"/>
    <w:rsid w:val="00093855"/>
    <w:rsid w:val="000F1DCB"/>
    <w:rsid w:val="00244C8A"/>
    <w:rsid w:val="002F7184"/>
    <w:rsid w:val="003118C5"/>
    <w:rsid w:val="00327E14"/>
    <w:rsid w:val="00327FDA"/>
    <w:rsid w:val="00383B5F"/>
    <w:rsid w:val="003A1CCD"/>
    <w:rsid w:val="003C795E"/>
    <w:rsid w:val="003D30FB"/>
    <w:rsid w:val="003E7ADF"/>
    <w:rsid w:val="00402F96"/>
    <w:rsid w:val="00485725"/>
    <w:rsid w:val="00491747"/>
    <w:rsid w:val="004D035A"/>
    <w:rsid w:val="00542D7C"/>
    <w:rsid w:val="005567C5"/>
    <w:rsid w:val="00571B8B"/>
    <w:rsid w:val="00572DE4"/>
    <w:rsid w:val="00606395"/>
    <w:rsid w:val="006555F6"/>
    <w:rsid w:val="0067599D"/>
    <w:rsid w:val="00687050"/>
    <w:rsid w:val="0069522C"/>
    <w:rsid w:val="006A6357"/>
    <w:rsid w:val="006D0484"/>
    <w:rsid w:val="0079755A"/>
    <w:rsid w:val="007A103F"/>
    <w:rsid w:val="007A171E"/>
    <w:rsid w:val="007B6959"/>
    <w:rsid w:val="007D21DF"/>
    <w:rsid w:val="007D24EA"/>
    <w:rsid w:val="00825918"/>
    <w:rsid w:val="00876809"/>
    <w:rsid w:val="00893F90"/>
    <w:rsid w:val="0097344D"/>
    <w:rsid w:val="00974224"/>
    <w:rsid w:val="00A05D2E"/>
    <w:rsid w:val="00A43160"/>
    <w:rsid w:val="00AB1E54"/>
    <w:rsid w:val="00AC3D82"/>
    <w:rsid w:val="00AD76C4"/>
    <w:rsid w:val="00B0639A"/>
    <w:rsid w:val="00B25C7E"/>
    <w:rsid w:val="00B92C6B"/>
    <w:rsid w:val="00BA2DB8"/>
    <w:rsid w:val="00BA5CB3"/>
    <w:rsid w:val="00C442A3"/>
    <w:rsid w:val="00C61C1B"/>
    <w:rsid w:val="00C65AF9"/>
    <w:rsid w:val="00C87F5B"/>
    <w:rsid w:val="00CD62E7"/>
    <w:rsid w:val="00D21399"/>
    <w:rsid w:val="00D54944"/>
    <w:rsid w:val="00D91750"/>
    <w:rsid w:val="00DA4947"/>
    <w:rsid w:val="00E0083B"/>
    <w:rsid w:val="00E029B7"/>
    <w:rsid w:val="00E3304C"/>
    <w:rsid w:val="00E46B27"/>
    <w:rsid w:val="00E53C90"/>
    <w:rsid w:val="00E5741E"/>
    <w:rsid w:val="00E932FA"/>
    <w:rsid w:val="00ED21A9"/>
    <w:rsid w:val="00F03CEB"/>
    <w:rsid w:val="00F879E9"/>
    <w:rsid w:val="00F9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hapeDefaults>
    <o:shapedefaults v:ext="edit" spidmax="5122">
      <o:colormru v:ext="edit" colors="#8a1d04,#2b635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g12pt">
    <w:name w:val="Big(12pt)"/>
    <w:basedOn w:val="Normal"/>
    <w:rsid w:val="00E0083B"/>
    <w:pPr>
      <w:tabs>
        <w:tab w:val="left" w:pos="1627"/>
        <w:tab w:val="left" w:pos="2002"/>
        <w:tab w:val="left" w:pos="5112"/>
        <w:tab w:val="left" w:pos="7560"/>
      </w:tabs>
      <w:ind w:left="1627" w:hanging="1627"/>
    </w:pPr>
    <w:rPr>
      <w:sz w:val="24"/>
    </w:rPr>
  </w:style>
  <w:style w:type="paragraph" w:customStyle="1" w:styleId="Comment">
    <w:name w:val="Comment"/>
    <w:basedOn w:val="Normal"/>
    <w:next w:val="TableofAuthorities"/>
    <w:rsid w:val="00E0083B"/>
    <w:pPr>
      <w:tabs>
        <w:tab w:val="left" w:pos="1627"/>
        <w:tab w:val="left" w:pos="5112"/>
        <w:tab w:val="left" w:pos="7560"/>
      </w:tabs>
    </w:pPr>
    <w:rPr>
      <w:sz w:val="22"/>
    </w:rPr>
  </w:style>
  <w:style w:type="paragraph" w:styleId="TableofAuthorities">
    <w:name w:val="table of authorities"/>
    <w:basedOn w:val="Normal"/>
    <w:next w:val="Normal"/>
    <w:semiHidden/>
    <w:rsid w:val="00E0083B"/>
    <w:pPr>
      <w:ind w:left="200" w:hanging="200"/>
    </w:pPr>
  </w:style>
  <w:style w:type="paragraph" w:customStyle="1" w:styleId="Little10pt">
    <w:name w:val="Little(10pt)"/>
    <w:basedOn w:val="Normal"/>
    <w:rsid w:val="00E0083B"/>
    <w:pPr>
      <w:tabs>
        <w:tab w:val="left" w:pos="1627"/>
        <w:tab w:val="left" w:pos="5112"/>
        <w:tab w:val="left" w:pos="7560"/>
      </w:tabs>
    </w:pPr>
  </w:style>
  <w:style w:type="paragraph" w:styleId="Header">
    <w:name w:val="header"/>
    <w:basedOn w:val="Normal"/>
    <w:rsid w:val="00973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344D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B25C7E"/>
  </w:style>
  <w:style w:type="character" w:styleId="Hyperlink">
    <w:name w:val="Hyperlink"/>
    <w:basedOn w:val="DefaultParagraphFont"/>
    <w:uiPriority w:val="99"/>
    <w:unhideWhenUsed/>
    <w:rsid w:val="00B25C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5CB3"/>
    <w:rPr>
      <w:i/>
      <w:iCs/>
    </w:rPr>
  </w:style>
  <w:style w:type="paragraph" w:styleId="BalloonText">
    <w:name w:val="Balloon Text"/>
    <w:basedOn w:val="Normal"/>
    <w:link w:val="BalloonTextChar"/>
    <w:rsid w:val="00327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co.ascopubs.org/content/30/28/3433.ful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cbi.nlm.nih.gov/pubmed/1148806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5087665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pit\Deskto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D. Pitman</dc:creator>
  <cp:lastModifiedBy>Sean D. Pitman</cp:lastModifiedBy>
  <cp:revision>4</cp:revision>
  <cp:lastPrinted>2015-04-20T21:01:00Z</cp:lastPrinted>
  <dcterms:created xsi:type="dcterms:W3CDTF">2015-04-21T21:44:00Z</dcterms:created>
  <dcterms:modified xsi:type="dcterms:W3CDTF">2015-04-21T23:40:00Z</dcterms:modified>
</cp:coreProperties>
</file>